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D4" w:rsidRDefault="008E4B47" w:rsidP="009F4BCA">
      <w:pPr>
        <w:jc w:val="center"/>
        <w:rPr>
          <w:sz w:val="28"/>
        </w:rPr>
      </w:pPr>
      <w:r>
        <w:rPr>
          <w:sz w:val="28"/>
        </w:rPr>
        <w:t xml:space="preserve">Audit and Risk </w:t>
      </w:r>
      <w:r w:rsidR="005B7ED4">
        <w:rPr>
          <w:sz w:val="28"/>
        </w:rPr>
        <w:t>C</w:t>
      </w:r>
      <w:r>
        <w:rPr>
          <w:sz w:val="28"/>
        </w:rPr>
        <w:t xml:space="preserve">ommittee </w:t>
      </w:r>
    </w:p>
    <w:p w:rsidR="00136F4E" w:rsidRPr="00133B16" w:rsidRDefault="005B7ED4" w:rsidP="009F4BCA">
      <w:pPr>
        <w:jc w:val="center"/>
        <w:rPr>
          <w:sz w:val="28"/>
        </w:rPr>
      </w:pPr>
      <w:r>
        <w:rPr>
          <w:sz w:val="28"/>
        </w:rPr>
        <w:t>MEMBER</w:t>
      </w:r>
      <w:r w:rsidR="002D51DE">
        <w:rPr>
          <w:sz w:val="28"/>
        </w:rPr>
        <w:t xml:space="preserve"> </w:t>
      </w:r>
      <w:r w:rsidR="009F4BCA" w:rsidRPr="00133B16">
        <w:rPr>
          <w:sz w:val="28"/>
        </w:rPr>
        <w:t>POSITION</w:t>
      </w:r>
      <w:r w:rsidR="00A45F4B">
        <w:rPr>
          <w:sz w:val="28"/>
        </w:rPr>
        <w:t xml:space="preserve"> STATEMENT</w:t>
      </w:r>
    </w:p>
    <w:tbl>
      <w:tblPr>
        <w:tblStyle w:val="TableGrid"/>
        <w:tblW w:w="0" w:type="auto"/>
        <w:tblLook w:val="04A0" w:firstRow="1" w:lastRow="0" w:firstColumn="1" w:lastColumn="0" w:noHBand="0" w:noVBand="1"/>
      </w:tblPr>
      <w:tblGrid>
        <w:gridCol w:w="2596"/>
        <w:gridCol w:w="6420"/>
      </w:tblGrid>
      <w:tr w:rsidR="00136F4E" w:rsidRPr="007C3088" w:rsidTr="00CB1862">
        <w:tc>
          <w:tcPr>
            <w:tcW w:w="2596" w:type="dxa"/>
            <w:shd w:val="clear" w:color="auto" w:fill="E2EFD9" w:themeFill="accent6" w:themeFillTint="33"/>
            <w:vAlign w:val="center"/>
          </w:tcPr>
          <w:p w:rsidR="00136F4E" w:rsidRPr="007C3088" w:rsidRDefault="00D639E9" w:rsidP="00D639E9">
            <w:pPr>
              <w:spacing w:before="120" w:after="120"/>
            </w:pPr>
            <w:r w:rsidRPr="007C3088">
              <w:t xml:space="preserve">Position </w:t>
            </w:r>
            <w:r w:rsidR="009F4BCA" w:rsidRPr="007C3088">
              <w:t>:</w:t>
            </w:r>
          </w:p>
        </w:tc>
        <w:tc>
          <w:tcPr>
            <w:tcW w:w="6420" w:type="dxa"/>
            <w:vAlign w:val="center"/>
          </w:tcPr>
          <w:p w:rsidR="00136F4E" w:rsidRPr="007C3088" w:rsidRDefault="00E91D69" w:rsidP="002D51DE">
            <w:pPr>
              <w:spacing w:before="120" w:after="120"/>
            </w:pPr>
            <w:r>
              <w:t>External Independent Community Member</w:t>
            </w:r>
          </w:p>
        </w:tc>
      </w:tr>
      <w:tr w:rsidR="00136F4E" w:rsidRPr="007C3088" w:rsidTr="00CB1862">
        <w:tc>
          <w:tcPr>
            <w:tcW w:w="2596" w:type="dxa"/>
            <w:shd w:val="clear" w:color="auto" w:fill="E2EFD9" w:themeFill="accent6" w:themeFillTint="33"/>
            <w:vAlign w:val="center"/>
          </w:tcPr>
          <w:p w:rsidR="00136F4E" w:rsidRPr="007C3088" w:rsidRDefault="007D3529" w:rsidP="009F4BCA">
            <w:pPr>
              <w:spacing w:before="120" w:after="120"/>
            </w:pPr>
            <w:r>
              <w:t>Committee</w:t>
            </w:r>
            <w:r w:rsidR="009F4BCA" w:rsidRPr="007C3088">
              <w:t xml:space="preserve">: </w:t>
            </w:r>
          </w:p>
        </w:tc>
        <w:tc>
          <w:tcPr>
            <w:tcW w:w="6420" w:type="dxa"/>
            <w:vAlign w:val="center"/>
          </w:tcPr>
          <w:p w:rsidR="00136F4E" w:rsidRPr="007C3088" w:rsidRDefault="00E91D69" w:rsidP="00E91D69">
            <w:pPr>
              <w:spacing w:before="120" w:after="120"/>
            </w:pPr>
            <w:r>
              <w:t xml:space="preserve">Stawell Regional Health Audit and Risk Committee </w:t>
            </w:r>
          </w:p>
        </w:tc>
      </w:tr>
      <w:tr w:rsidR="007E3FC3" w:rsidRPr="007C3088" w:rsidTr="00CB1862">
        <w:tc>
          <w:tcPr>
            <w:tcW w:w="2596" w:type="dxa"/>
            <w:shd w:val="clear" w:color="auto" w:fill="E2EFD9" w:themeFill="accent6" w:themeFillTint="33"/>
            <w:vAlign w:val="center"/>
          </w:tcPr>
          <w:p w:rsidR="007E3FC3" w:rsidRPr="007C3088" w:rsidRDefault="005C73CF" w:rsidP="009F4BCA">
            <w:pPr>
              <w:spacing w:before="120" w:after="120"/>
            </w:pPr>
            <w:r>
              <w:t>Approved by:</w:t>
            </w:r>
          </w:p>
        </w:tc>
        <w:tc>
          <w:tcPr>
            <w:tcW w:w="6420" w:type="dxa"/>
            <w:vAlign w:val="center"/>
          </w:tcPr>
          <w:p w:rsidR="00E91D69" w:rsidRDefault="00E91D69" w:rsidP="007E5941">
            <w:pPr>
              <w:spacing w:before="120" w:after="120"/>
            </w:pPr>
            <w:r>
              <w:t xml:space="preserve">Stawell Regional Health Audit and Risk </w:t>
            </w:r>
            <w:r w:rsidR="005C73CF">
              <w:t xml:space="preserve"> Committee </w:t>
            </w:r>
          </w:p>
          <w:p w:rsidR="007E3FC3" w:rsidRPr="007C3088" w:rsidRDefault="007E3FC3" w:rsidP="00E91D69">
            <w:pPr>
              <w:spacing w:before="120" w:after="120"/>
            </w:pPr>
            <w:r w:rsidRPr="007C3088">
              <w:t xml:space="preserve">Date:  </w:t>
            </w:r>
            <w:r w:rsidR="00E91D69">
              <w:t xml:space="preserve">March 2020 </w:t>
            </w:r>
          </w:p>
        </w:tc>
      </w:tr>
    </w:tbl>
    <w:p w:rsidR="00136F4E" w:rsidRPr="005C73CF" w:rsidRDefault="00136F4E" w:rsidP="00023A6B">
      <w:pPr>
        <w:tabs>
          <w:tab w:val="left" w:pos="3765"/>
        </w:tabs>
        <w:rPr>
          <w:sz w:val="2"/>
          <w:szCs w:val="2"/>
        </w:rPr>
      </w:pPr>
    </w:p>
    <w:p w:rsidR="00136F4E" w:rsidRPr="007C3088" w:rsidRDefault="007D3529" w:rsidP="009F4BCA">
      <w:pPr>
        <w:pBdr>
          <w:top w:val="single" w:sz="4" w:space="1" w:color="auto"/>
          <w:bottom w:val="single" w:sz="4" w:space="1" w:color="auto"/>
        </w:pBdr>
        <w:shd w:val="clear" w:color="auto" w:fill="E2EFD9" w:themeFill="accent6" w:themeFillTint="33"/>
      </w:pPr>
      <w:r>
        <w:t xml:space="preserve">Stawell Regional Health - </w:t>
      </w:r>
      <w:r w:rsidR="00D639E9" w:rsidRPr="007C3088">
        <w:t>Organisational information</w:t>
      </w:r>
      <w:r w:rsidR="00FB66A0">
        <w:t>:</w:t>
      </w:r>
    </w:p>
    <w:p w:rsidR="007D6360" w:rsidRDefault="007D6360" w:rsidP="007D6360">
      <w:pPr>
        <w:jc w:val="both"/>
      </w:pPr>
      <w:r>
        <w:t xml:space="preserve">Stawell Regional Health Service is committed to working with its community in order to provide a responsive, safe and sustainable rural health service that our community trusts and values. </w:t>
      </w:r>
      <w:r w:rsidR="00D37F2B">
        <w:t xml:space="preserve"> Stawell Regional Health provides Acute, Community, Residential and Primary Health care services to the Stawell community and surrounding districts. </w:t>
      </w:r>
    </w:p>
    <w:p w:rsidR="008E4B47" w:rsidRDefault="008E4B47" w:rsidP="007D6360">
      <w:pPr>
        <w:jc w:val="both"/>
      </w:pPr>
      <w:r>
        <w:t xml:space="preserve">As a Public Health Service we receive funding from both the State and Commonwealth governments and are required to comply with all relevant standards, regulations and legislation. </w:t>
      </w:r>
    </w:p>
    <w:p w:rsidR="00D639E9" w:rsidRPr="007D3529" w:rsidRDefault="00D639E9" w:rsidP="00FB66A0">
      <w:pPr>
        <w:spacing w:after="0"/>
        <w:jc w:val="both"/>
        <w:rPr>
          <w:b/>
          <w:u w:val="single"/>
        </w:rPr>
      </w:pPr>
      <w:r w:rsidRPr="007D3529">
        <w:rPr>
          <w:b/>
          <w:u w:val="single"/>
        </w:rPr>
        <w:t>Vision</w:t>
      </w:r>
    </w:p>
    <w:p w:rsidR="00D639E9" w:rsidRPr="008256ED" w:rsidRDefault="008256ED" w:rsidP="00023A6B">
      <w:pPr>
        <w:jc w:val="both"/>
      </w:pPr>
      <w:r w:rsidRPr="008256ED">
        <w:rPr>
          <w:rFonts w:cs="Arial"/>
          <w:color w:val="2F2F2F"/>
          <w:lang w:val="en-US"/>
        </w:rPr>
        <w:t>Caring for our community.</w:t>
      </w:r>
    </w:p>
    <w:p w:rsidR="00D639E9" w:rsidRPr="007D3529" w:rsidRDefault="00D639E9" w:rsidP="00FB66A0">
      <w:pPr>
        <w:spacing w:after="0"/>
        <w:jc w:val="both"/>
        <w:rPr>
          <w:b/>
          <w:u w:val="single"/>
        </w:rPr>
      </w:pPr>
      <w:r w:rsidRPr="007D3529">
        <w:rPr>
          <w:b/>
          <w:u w:val="single"/>
        </w:rPr>
        <w:t>Mission</w:t>
      </w:r>
    </w:p>
    <w:p w:rsidR="00D639E9" w:rsidRPr="008256ED" w:rsidRDefault="008256ED" w:rsidP="00023A6B">
      <w:pPr>
        <w:jc w:val="both"/>
      </w:pPr>
      <w:r w:rsidRPr="008256ED">
        <w:rPr>
          <w:color w:val="2F2F2F"/>
          <w:lang w:val="en-US"/>
        </w:rPr>
        <w:t>In partnership with our community, Stawell Regional Health will deliver high quality care and improve health outcomes by providing safe, accessible and integrated services.</w:t>
      </w:r>
    </w:p>
    <w:p w:rsidR="007D3529" w:rsidRPr="00743253" w:rsidRDefault="007D3529" w:rsidP="007D3529">
      <w:pPr>
        <w:spacing w:after="0" w:line="240" w:lineRule="auto"/>
        <w:rPr>
          <w:b/>
          <w:u w:val="single"/>
        </w:rPr>
      </w:pPr>
      <w:r w:rsidRPr="00743253">
        <w:rPr>
          <w:b/>
          <w:u w:val="single"/>
        </w:rPr>
        <w:t>Values</w:t>
      </w:r>
    </w:p>
    <w:p w:rsidR="007D3529" w:rsidRDefault="007D3529" w:rsidP="007D3529">
      <w:pPr>
        <w:spacing w:after="0" w:line="240" w:lineRule="auto"/>
      </w:pPr>
      <w:r w:rsidRPr="009F4BCA">
        <w:t xml:space="preserve">Our values represent the key areas our </w:t>
      </w:r>
      <w:r>
        <w:t>workforce commits to every day and play a critical role in shaping how we operate as an organisation.</w:t>
      </w:r>
    </w:p>
    <w:p w:rsidR="007D3529" w:rsidRDefault="007D3529" w:rsidP="007D3529">
      <w:pPr>
        <w:spacing w:after="0" w:line="240" w:lineRule="auto"/>
      </w:pPr>
    </w:p>
    <w:p w:rsidR="007D3529" w:rsidRDefault="007D3529" w:rsidP="007D3529">
      <w:pPr>
        <w:jc w:val="both"/>
      </w:pPr>
      <w:r w:rsidRPr="00CE5A44">
        <w:rPr>
          <w:b/>
        </w:rPr>
        <w:t>Community CARE</w:t>
      </w:r>
      <w:r>
        <w:t xml:space="preserve"> – Our community speaks to those we serve, those we work alongside, those we partner with and those we are accountable to.</w:t>
      </w:r>
    </w:p>
    <w:p w:rsidR="007D3529" w:rsidRDefault="007D3529" w:rsidP="007D3529">
      <w:pPr>
        <w:jc w:val="both"/>
      </w:pPr>
      <w:r w:rsidRPr="00632491">
        <w:rPr>
          <w:b/>
        </w:rPr>
        <w:t>C</w:t>
      </w:r>
      <w:r>
        <w:t>ompassion – We are kind and considerate in our care for others</w:t>
      </w:r>
    </w:p>
    <w:p w:rsidR="007D3529" w:rsidRDefault="007D3529" w:rsidP="007D3529">
      <w:pPr>
        <w:jc w:val="both"/>
      </w:pPr>
      <w:r w:rsidRPr="00632491">
        <w:rPr>
          <w:b/>
        </w:rPr>
        <w:t>A</w:t>
      </w:r>
      <w:r>
        <w:t>ccountability – We each take personal responsibility for our decisions and actions</w:t>
      </w:r>
    </w:p>
    <w:p w:rsidR="007D3529" w:rsidRDefault="007D3529" w:rsidP="007D3529">
      <w:pPr>
        <w:jc w:val="both"/>
      </w:pPr>
      <w:r w:rsidRPr="00632491">
        <w:rPr>
          <w:b/>
        </w:rPr>
        <w:t>R</w:t>
      </w:r>
      <w:r>
        <w:t>espect – We value how people are different and diverse</w:t>
      </w:r>
    </w:p>
    <w:p w:rsidR="00A11458" w:rsidRPr="007C3088" w:rsidRDefault="007D3529" w:rsidP="007D3529">
      <w:pPr>
        <w:jc w:val="both"/>
      </w:pPr>
      <w:r w:rsidRPr="00632491">
        <w:rPr>
          <w:b/>
        </w:rPr>
        <w:t>E</w:t>
      </w:r>
      <w:r>
        <w:t xml:space="preserve">xcellence – We continually strive to deliver </w:t>
      </w:r>
      <w:r w:rsidR="007D6360">
        <w:t xml:space="preserve">safe, </w:t>
      </w:r>
      <w:r>
        <w:t>quality, efficient, and evidence-based services</w:t>
      </w:r>
    </w:p>
    <w:p w:rsidR="009F4BCA" w:rsidRPr="007C3088" w:rsidRDefault="00E91D69" w:rsidP="009F4BCA">
      <w:pPr>
        <w:pBdr>
          <w:top w:val="single" w:sz="4" w:space="1" w:color="auto"/>
          <w:bottom w:val="single" w:sz="4" w:space="1" w:color="auto"/>
        </w:pBdr>
        <w:shd w:val="clear" w:color="auto" w:fill="E2EFD9" w:themeFill="accent6" w:themeFillTint="33"/>
      </w:pPr>
      <w:r>
        <w:lastRenderedPageBreak/>
        <w:t>Audit and Risk</w:t>
      </w:r>
      <w:r w:rsidR="005B7ED4">
        <w:t xml:space="preserve"> Committee</w:t>
      </w:r>
      <w:r w:rsidR="00810377">
        <w:t xml:space="preserve"> Function</w:t>
      </w:r>
      <w:r w:rsidR="00FB66A0">
        <w:t>:</w:t>
      </w:r>
    </w:p>
    <w:p w:rsidR="00E91D69" w:rsidRPr="00E91D69" w:rsidRDefault="00E91D69" w:rsidP="00E91D69">
      <w:pPr>
        <w:autoSpaceDE w:val="0"/>
        <w:autoSpaceDN w:val="0"/>
        <w:adjustRightInd w:val="0"/>
        <w:spacing w:after="0" w:line="240" w:lineRule="auto"/>
      </w:pPr>
      <w:r w:rsidRPr="00E91D69">
        <w:t>As a board subcommittee the primary role of the SRH Board Audit &amp; Risk Committee is to oversee and advise the Board on the following matters:</w:t>
      </w:r>
    </w:p>
    <w:p w:rsidR="00E91D69" w:rsidRPr="00E91D69" w:rsidRDefault="00E91D69" w:rsidP="00E91D69">
      <w:pPr>
        <w:pStyle w:val="ListParagraph"/>
        <w:numPr>
          <w:ilvl w:val="0"/>
          <w:numId w:val="5"/>
        </w:numPr>
        <w:autoSpaceDE w:val="0"/>
        <w:autoSpaceDN w:val="0"/>
        <w:adjustRightInd w:val="0"/>
        <w:spacing w:after="0" w:line="240" w:lineRule="auto"/>
      </w:pPr>
      <w:r w:rsidRPr="00E91D69">
        <w:t>Annual financial reports and auditing thereof</w:t>
      </w:r>
    </w:p>
    <w:p w:rsidR="00E91D69" w:rsidRPr="00E91D69" w:rsidRDefault="00E91D69" w:rsidP="00E91D69">
      <w:pPr>
        <w:pStyle w:val="ListParagraph"/>
        <w:numPr>
          <w:ilvl w:val="0"/>
          <w:numId w:val="5"/>
        </w:numPr>
        <w:autoSpaceDE w:val="0"/>
        <w:autoSpaceDN w:val="0"/>
        <w:adjustRightInd w:val="0"/>
        <w:spacing w:after="0" w:line="240" w:lineRule="auto"/>
      </w:pPr>
      <w:r w:rsidRPr="00E91D69">
        <w:t>Scope, appointment, performance and review of</w:t>
      </w:r>
      <w:r w:rsidR="00810377">
        <w:t xml:space="preserve"> </w:t>
      </w:r>
      <w:r w:rsidRPr="00E91D69">
        <w:t xml:space="preserve"> </w:t>
      </w:r>
      <w:r w:rsidR="00810377">
        <w:t>internal</w:t>
      </w:r>
      <w:r w:rsidRPr="00E91D69">
        <w:t xml:space="preserve"> auditors and their reports, including the assessment and oversight of proposed organisational response to audit recommendations</w:t>
      </w:r>
    </w:p>
    <w:p w:rsidR="00E91D69" w:rsidRPr="00E91D69" w:rsidRDefault="00E91D69" w:rsidP="00E91D69">
      <w:pPr>
        <w:pStyle w:val="ListParagraph"/>
        <w:numPr>
          <w:ilvl w:val="0"/>
          <w:numId w:val="5"/>
        </w:numPr>
        <w:autoSpaceDE w:val="0"/>
        <w:autoSpaceDN w:val="0"/>
        <w:adjustRightInd w:val="0"/>
        <w:spacing w:after="0" w:line="240" w:lineRule="auto"/>
      </w:pPr>
      <w:r w:rsidRPr="00E91D69">
        <w:t xml:space="preserve">Operation and implementation of the SRH risk management framework including the organisational assessment and management of identified risks and risk mitigation strategies, relevant risk management policies </w:t>
      </w:r>
    </w:p>
    <w:p w:rsidR="00E91D69" w:rsidRDefault="00E91D69" w:rsidP="00E91D69">
      <w:pPr>
        <w:pStyle w:val="ListParagraph"/>
        <w:numPr>
          <w:ilvl w:val="0"/>
          <w:numId w:val="5"/>
        </w:numPr>
        <w:autoSpaceDE w:val="0"/>
        <w:autoSpaceDN w:val="0"/>
        <w:adjustRightInd w:val="0"/>
        <w:spacing w:after="0" w:line="240" w:lineRule="auto"/>
      </w:pPr>
      <w:r w:rsidRPr="00E91D69">
        <w:t>Organisational legislative and regulatory compliance.</w:t>
      </w:r>
    </w:p>
    <w:p w:rsidR="00E91D69" w:rsidRDefault="00E91D69" w:rsidP="00E91D69">
      <w:pPr>
        <w:autoSpaceDE w:val="0"/>
        <w:autoSpaceDN w:val="0"/>
        <w:adjustRightInd w:val="0"/>
        <w:spacing w:after="0" w:line="240" w:lineRule="auto"/>
        <w:rPr>
          <w:rFonts w:ascii="Arial" w:hAnsi="Arial" w:cs="Arial"/>
        </w:rPr>
      </w:pPr>
    </w:p>
    <w:p w:rsidR="00E91D69" w:rsidRDefault="00E91D69" w:rsidP="00E91D69">
      <w:pPr>
        <w:autoSpaceDE w:val="0"/>
        <w:autoSpaceDN w:val="0"/>
        <w:adjustRightInd w:val="0"/>
        <w:spacing w:after="0" w:line="240" w:lineRule="auto"/>
        <w:rPr>
          <w:rFonts w:ascii="Arial" w:hAnsi="Arial" w:cs="Arial"/>
        </w:rPr>
      </w:pPr>
    </w:p>
    <w:p w:rsidR="00E91D69" w:rsidRDefault="00E91D69" w:rsidP="00E91D69">
      <w:pPr>
        <w:autoSpaceDE w:val="0"/>
        <w:autoSpaceDN w:val="0"/>
        <w:adjustRightInd w:val="0"/>
        <w:spacing w:after="0" w:line="240" w:lineRule="auto"/>
      </w:pPr>
      <w:r w:rsidRPr="00E91D69">
        <w:t>The Audit &amp; Risk Committee is authorised by the Board to investigate any activity</w:t>
      </w:r>
      <w:r w:rsidR="0075561E">
        <w:t xml:space="preserve"> covered</w:t>
      </w:r>
      <w:r w:rsidRPr="00E91D69">
        <w:t xml:space="preserve"> by its Terms of Reference. </w:t>
      </w:r>
    </w:p>
    <w:p w:rsidR="0075561E" w:rsidRPr="00E91D69" w:rsidRDefault="0075561E" w:rsidP="00E91D69">
      <w:pPr>
        <w:autoSpaceDE w:val="0"/>
        <w:autoSpaceDN w:val="0"/>
        <w:adjustRightInd w:val="0"/>
        <w:spacing w:after="0" w:line="240" w:lineRule="auto"/>
      </w:pPr>
    </w:p>
    <w:p w:rsidR="009F4BCA" w:rsidRPr="007C3088" w:rsidRDefault="002A770D" w:rsidP="00023A6B">
      <w:pPr>
        <w:pBdr>
          <w:top w:val="single" w:sz="4" w:space="1" w:color="auto"/>
          <w:bottom w:val="single" w:sz="4" w:space="1" w:color="auto"/>
        </w:pBdr>
        <w:shd w:val="clear" w:color="auto" w:fill="E2EFD9" w:themeFill="accent6" w:themeFillTint="33"/>
        <w:tabs>
          <w:tab w:val="left" w:pos="1870"/>
        </w:tabs>
        <w:jc w:val="both"/>
      </w:pPr>
      <w:r>
        <w:t>About the role:</w:t>
      </w:r>
    </w:p>
    <w:p w:rsidR="00BA769C" w:rsidRPr="00BA769C" w:rsidRDefault="00BA769C" w:rsidP="00BA769C">
      <w:pPr>
        <w:autoSpaceDE w:val="0"/>
        <w:autoSpaceDN w:val="0"/>
        <w:adjustRightInd w:val="0"/>
        <w:spacing w:after="0" w:line="240" w:lineRule="auto"/>
        <w:rPr>
          <w:b/>
        </w:rPr>
      </w:pPr>
      <w:r w:rsidRPr="00BA769C">
        <w:rPr>
          <w:b/>
        </w:rPr>
        <w:t>Committee Composition</w:t>
      </w:r>
    </w:p>
    <w:p w:rsidR="00BA769C" w:rsidRPr="00BA769C" w:rsidRDefault="00BA769C" w:rsidP="00BA769C">
      <w:pPr>
        <w:spacing w:after="0" w:line="240" w:lineRule="auto"/>
      </w:pPr>
    </w:p>
    <w:p w:rsidR="00BA769C" w:rsidRPr="00BA769C" w:rsidRDefault="00BA769C" w:rsidP="00BA769C">
      <w:pPr>
        <w:autoSpaceDE w:val="0"/>
        <w:autoSpaceDN w:val="0"/>
        <w:adjustRightInd w:val="0"/>
        <w:spacing w:after="0" w:line="240" w:lineRule="auto"/>
      </w:pPr>
      <w:bookmarkStart w:id="0" w:name="_GoBack"/>
      <w:r w:rsidRPr="00BA769C">
        <w:t>The Committee is appointed by the Board and consists of a minimum of five (5) members, all of whom are not members of the Stawell Regional Health executive team. The composition consists of three (3) board members and two (2) external independent community members.</w:t>
      </w:r>
    </w:p>
    <w:bookmarkEnd w:id="0"/>
    <w:p w:rsidR="00BA769C" w:rsidRPr="00BA769C" w:rsidRDefault="00BA769C" w:rsidP="00BA769C">
      <w:pPr>
        <w:autoSpaceDE w:val="0"/>
        <w:autoSpaceDN w:val="0"/>
        <w:adjustRightInd w:val="0"/>
        <w:spacing w:after="0" w:line="240" w:lineRule="auto"/>
      </w:pPr>
    </w:p>
    <w:p w:rsidR="00BA769C" w:rsidRPr="00BA769C" w:rsidRDefault="00BA769C" w:rsidP="00BA769C">
      <w:pPr>
        <w:autoSpaceDE w:val="0"/>
        <w:autoSpaceDN w:val="0"/>
        <w:adjustRightInd w:val="0"/>
        <w:spacing w:after="0" w:line="240" w:lineRule="auto"/>
      </w:pPr>
      <w:r w:rsidRPr="00BA769C">
        <w:t>Committee members who are not Board members may be appointed to ensure an adequate and appropriate mix of skills. Such Committee members shall be appointed for up to a (3) year term which can be renewed.</w:t>
      </w:r>
    </w:p>
    <w:p w:rsidR="00BA769C" w:rsidRPr="00BA769C" w:rsidRDefault="00BA769C" w:rsidP="00BA769C">
      <w:pPr>
        <w:autoSpaceDE w:val="0"/>
        <w:autoSpaceDN w:val="0"/>
        <w:adjustRightInd w:val="0"/>
        <w:spacing w:after="0" w:line="240" w:lineRule="auto"/>
      </w:pPr>
    </w:p>
    <w:p w:rsidR="00BA769C" w:rsidRPr="00BA769C" w:rsidRDefault="00BA769C" w:rsidP="00BA769C">
      <w:pPr>
        <w:autoSpaceDE w:val="0"/>
        <w:autoSpaceDN w:val="0"/>
        <w:adjustRightInd w:val="0"/>
        <w:spacing w:after="0" w:line="240" w:lineRule="auto"/>
        <w:rPr>
          <w:b/>
        </w:rPr>
      </w:pPr>
      <w:r w:rsidRPr="00BA769C">
        <w:rPr>
          <w:b/>
        </w:rPr>
        <w:t>Frequency of Committee Meetings</w:t>
      </w:r>
    </w:p>
    <w:p w:rsidR="00BA769C" w:rsidRPr="00BA769C" w:rsidRDefault="00BA769C" w:rsidP="00BA769C">
      <w:pPr>
        <w:autoSpaceDE w:val="0"/>
        <w:autoSpaceDN w:val="0"/>
        <w:adjustRightInd w:val="0"/>
        <w:spacing w:after="0" w:line="240" w:lineRule="auto"/>
      </w:pPr>
    </w:p>
    <w:p w:rsidR="00BA769C" w:rsidRPr="00BA769C" w:rsidRDefault="00BA769C" w:rsidP="00BA769C">
      <w:pPr>
        <w:autoSpaceDE w:val="0"/>
        <w:autoSpaceDN w:val="0"/>
        <w:adjustRightInd w:val="0"/>
        <w:spacing w:after="0" w:line="240" w:lineRule="auto"/>
      </w:pPr>
      <w:r w:rsidRPr="00BA769C">
        <w:t>Meetings are scheduled quarterly (February, May, August &amp; November)</w:t>
      </w:r>
    </w:p>
    <w:p w:rsidR="00BA769C" w:rsidRDefault="00BA769C" w:rsidP="00BA769C">
      <w:pPr>
        <w:autoSpaceDE w:val="0"/>
        <w:autoSpaceDN w:val="0"/>
        <w:adjustRightInd w:val="0"/>
        <w:spacing w:after="0" w:line="240" w:lineRule="auto"/>
      </w:pPr>
      <w:r w:rsidRPr="00BA769C">
        <w:t>Extraordinary meetings may be scheduled in order to discharge the Committee’s role and responsibilities effectively</w:t>
      </w:r>
    </w:p>
    <w:p w:rsidR="00BA769C" w:rsidRPr="00BA769C" w:rsidRDefault="00BA769C" w:rsidP="00BA769C">
      <w:pPr>
        <w:autoSpaceDE w:val="0"/>
        <w:autoSpaceDN w:val="0"/>
        <w:adjustRightInd w:val="0"/>
        <w:spacing w:after="0" w:line="240" w:lineRule="auto"/>
      </w:pPr>
      <w:r>
        <w:t>Meetings are generally hosted at Stawell Regional Health – Sloane St Stawell</w:t>
      </w:r>
    </w:p>
    <w:p w:rsidR="00BA769C" w:rsidRDefault="00BA769C" w:rsidP="00BA769C">
      <w:pPr>
        <w:autoSpaceDE w:val="0"/>
        <w:autoSpaceDN w:val="0"/>
        <w:adjustRightInd w:val="0"/>
        <w:spacing w:after="0" w:line="240" w:lineRule="auto"/>
      </w:pPr>
    </w:p>
    <w:p w:rsidR="00BA769C" w:rsidRPr="00BA769C" w:rsidRDefault="00BA769C" w:rsidP="00BA769C">
      <w:pPr>
        <w:autoSpaceDE w:val="0"/>
        <w:autoSpaceDN w:val="0"/>
        <w:adjustRightInd w:val="0"/>
        <w:spacing w:after="0" w:line="240" w:lineRule="auto"/>
      </w:pPr>
      <w:r w:rsidRPr="00BA769C">
        <w:rPr>
          <w:rFonts w:hint="eastAsia"/>
        </w:rPr>
        <w:t xml:space="preserve">The ARC will </w:t>
      </w:r>
      <w:r>
        <w:t>meet n</w:t>
      </w:r>
      <w:r w:rsidRPr="00BA769C">
        <w:t xml:space="preserve">ot less than (4) times per year </w:t>
      </w:r>
    </w:p>
    <w:p w:rsidR="000D159A" w:rsidRPr="007C3088" w:rsidRDefault="000D159A" w:rsidP="00375A0C">
      <w:pPr>
        <w:autoSpaceDE w:val="0"/>
        <w:autoSpaceDN w:val="0"/>
        <w:adjustRightInd w:val="0"/>
        <w:spacing w:after="0" w:line="240" w:lineRule="auto"/>
      </w:pPr>
    </w:p>
    <w:p w:rsidR="00133B16" w:rsidRPr="007C3088" w:rsidRDefault="00BA769C" w:rsidP="00023A6B">
      <w:pPr>
        <w:pBdr>
          <w:top w:val="single" w:sz="4" w:space="1" w:color="auto"/>
          <w:bottom w:val="single" w:sz="4" w:space="1" w:color="auto"/>
        </w:pBdr>
        <w:shd w:val="clear" w:color="auto" w:fill="E2EFD9" w:themeFill="accent6" w:themeFillTint="33"/>
        <w:tabs>
          <w:tab w:val="left" w:pos="1870"/>
        </w:tabs>
        <w:jc w:val="both"/>
      </w:pPr>
      <w:r>
        <w:lastRenderedPageBreak/>
        <w:t>Independent Community Members -</w:t>
      </w:r>
      <w:r w:rsidR="00DF1AE4">
        <w:t xml:space="preserve"> </w:t>
      </w:r>
      <w:r w:rsidR="007C3088" w:rsidRPr="007C3088">
        <w:t xml:space="preserve">Key </w:t>
      </w:r>
      <w:r w:rsidR="003E4A42">
        <w:t xml:space="preserve">characteristics, skills and </w:t>
      </w:r>
      <w:r w:rsidR="00DF1AE4">
        <w:t>attributes</w:t>
      </w:r>
      <w:r w:rsidR="00FB66A0">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39"/>
      </w:tblGrid>
      <w:tr w:rsidR="00D3384F" w:rsidRPr="007C3088" w:rsidTr="006C4DE9">
        <w:trPr>
          <w:trHeight w:val="73"/>
        </w:trPr>
        <w:tc>
          <w:tcPr>
            <w:tcW w:w="9039" w:type="dxa"/>
          </w:tcPr>
          <w:p w:rsidR="00BA769C" w:rsidRPr="00BA769C" w:rsidRDefault="001D56FB" w:rsidP="00BA769C">
            <w:pPr>
              <w:pStyle w:val="NormalWeb"/>
              <w:numPr>
                <w:ilvl w:val="0"/>
                <w:numId w:val="1"/>
              </w:numPr>
              <w:spacing w:before="0" w:after="0"/>
              <w:ind w:left="357" w:hanging="357"/>
              <w:rPr>
                <w:rFonts w:asciiTheme="minorHAnsi" w:hAnsiTheme="minorHAnsi" w:cs="Arial"/>
                <w:sz w:val="22"/>
                <w:szCs w:val="22"/>
              </w:rPr>
            </w:pPr>
            <w:r>
              <w:rPr>
                <w:rFonts w:asciiTheme="minorHAnsi" w:hAnsiTheme="minorHAnsi" w:cs="Arial"/>
                <w:sz w:val="22"/>
                <w:szCs w:val="22"/>
              </w:rPr>
              <w:t xml:space="preserve">An active </w:t>
            </w:r>
            <w:r w:rsidR="00BA769C">
              <w:rPr>
                <w:rFonts w:asciiTheme="minorHAnsi" w:hAnsiTheme="minorHAnsi" w:cs="Arial"/>
                <w:sz w:val="22"/>
                <w:szCs w:val="22"/>
              </w:rPr>
              <w:t xml:space="preserve">interest in contributing to Stawell Regionals Health performance and sustainability </w:t>
            </w:r>
          </w:p>
          <w:p w:rsidR="001D56FB" w:rsidRDefault="001D56FB" w:rsidP="00A27471">
            <w:pPr>
              <w:pStyle w:val="NormalWeb"/>
              <w:numPr>
                <w:ilvl w:val="0"/>
                <w:numId w:val="1"/>
              </w:numPr>
              <w:spacing w:before="0" w:after="0"/>
              <w:ind w:left="357" w:hanging="357"/>
              <w:rPr>
                <w:rFonts w:asciiTheme="minorHAnsi" w:hAnsiTheme="minorHAnsi" w:cs="Arial"/>
                <w:sz w:val="22"/>
                <w:szCs w:val="22"/>
              </w:rPr>
            </w:pPr>
            <w:r>
              <w:rPr>
                <w:rFonts w:asciiTheme="minorHAnsi" w:hAnsiTheme="minorHAnsi" w:cs="Arial"/>
                <w:sz w:val="22"/>
                <w:szCs w:val="22"/>
              </w:rPr>
              <w:t>Demonstrable commitment to</w:t>
            </w:r>
            <w:r w:rsidR="008E4B47">
              <w:rPr>
                <w:rFonts w:asciiTheme="minorHAnsi" w:hAnsiTheme="minorHAnsi" w:cs="Arial"/>
                <w:sz w:val="22"/>
                <w:szCs w:val="22"/>
              </w:rPr>
              <w:t xml:space="preserve"> the</w:t>
            </w:r>
            <w:r>
              <w:rPr>
                <w:rFonts w:asciiTheme="minorHAnsi" w:hAnsiTheme="minorHAnsi" w:cs="Arial"/>
                <w:sz w:val="22"/>
                <w:szCs w:val="22"/>
              </w:rPr>
              <w:t xml:space="preserve"> mission and vision of Stawell Regional Health.</w:t>
            </w:r>
          </w:p>
          <w:p w:rsidR="008E4B47" w:rsidRPr="008E4B47" w:rsidRDefault="001D56FB" w:rsidP="008E4B47">
            <w:pPr>
              <w:pStyle w:val="NormalWeb"/>
              <w:numPr>
                <w:ilvl w:val="0"/>
                <w:numId w:val="1"/>
              </w:numPr>
              <w:spacing w:before="0" w:after="0"/>
              <w:ind w:left="357" w:hanging="357"/>
              <w:rPr>
                <w:rFonts w:asciiTheme="minorHAnsi" w:hAnsiTheme="minorHAnsi" w:cs="Arial"/>
                <w:sz w:val="22"/>
                <w:szCs w:val="22"/>
              </w:rPr>
            </w:pPr>
            <w:r w:rsidRPr="00FB66A0">
              <w:rPr>
                <w:rFonts w:asciiTheme="minorHAnsi" w:hAnsiTheme="minorHAnsi" w:cs="Arial"/>
                <w:sz w:val="22"/>
                <w:szCs w:val="22"/>
              </w:rPr>
              <w:t xml:space="preserve">Consistent behavior in line with SRH values </w:t>
            </w:r>
          </w:p>
          <w:p w:rsidR="001D56FB" w:rsidRPr="00FB66A0" w:rsidRDefault="001D56FB" w:rsidP="0052434B">
            <w:pPr>
              <w:pStyle w:val="NormalWeb"/>
              <w:numPr>
                <w:ilvl w:val="0"/>
                <w:numId w:val="1"/>
              </w:numPr>
              <w:spacing w:before="0" w:after="0"/>
              <w:ind w:left="357" w:hanging="357"/>
              <w:rPr>
                <w:rFonts w:asciiTheme="minorHAnsi" w:hAnsiTheme="minorHAnsi" w:cs="Arial"/>
                <w:sz w:val="22"/>
                <w:szCs w:val="22"/>
              </w:rPr>
            </w:pPr>
            <w:r w:rsidRPr="00FB66A0">
              <w:rPr>
                <w:rFonts w:asciiTheme="minorHAnsi" w:hAnsiTheme="minorHAnsi" w:cs="Arial"/>
                <w:sz w:val="22"/>
                <w:szCs w:val="22"/>
              </w:rPr>
              <w:t xml:space="preserve">Capacity to attend </w:t>
            </w:r>
            <w:r w:rsidR="008E4B47">
              <w:rPr>
                <w:rFonts w:asciiTheme="minorHAnsi" w:hAnsiTheme="minorHAnsi" w:cs="Arial"/>
                <w:sz w:val="22"/>
                <w:szCs w:val="22"/>
              </w:rPr>
              <w:t xml:space="preserve">scheduled </w:t>
            </w:r>
            <w:r w:rsidR="008E4B47" w:rsidRPr="00FB66A0">
              <w:rPr>
                <w:rFonts w:asciiTheme="minorHAnsi" w:hAnsiTheme="minorHAnsi" w:cs="Arial"/>
                <w:sz w:val="22"/>
                <w:szCs w:val="22"/>
              </w:rPr>
              <w:t>meetings</w:t>
            </w:r>
            <w:r w:rsidRPr="00FB66A0">
              <w:rPr>
                <w:rFonts w:asciiTheme="minorHAnsi" w:hAnsiTheme="minorHAnsi" w:cs="Arial"/>
                <w:sz w:val="22"/>
                <w:szCs w:val="22"/>
              </w:rPr>
              <w:t>.</w:t>
            </w:r>
          </w:p>
          <w:p w:rsidR="001D56FB" w:rsidRDefault="001D56FB" w:rsidP="00A27471">
            <w:pPr>
              <w:pStyle w:val="NormalWeb"/>
              <w:numPr>
                <w:ilvl w:val="0"/>
                <w:numId w:val="1"/>
              </w:numPr>
              <w:spacing w:before="0" w:after="0"/>
              <w:ind w:left="357" w:hanging="357"/>
              <w:rPr>
                <w:rFonts w:asciiTheme="minorHAnsi" w:hAnsiTheme="minorHAnsi" w:cs="Arial"/>
                <w:sz w:val="22"/>
                <w:szCs w:val="22"/>
              </w:rPr>
            </w:pPr>
            <w:r>
              <w:rPr>
                <w:rFonts w:asciiTheme="minorHAnsi" w:hAnsiTheme="minorHAnsi" w:cs="Arial"/>
                <w:sz w:val="22"/>
                <w:szCs w:val="22"/>
              </w:rPr>
              <w:t>Commitment to active</w:t>
            </w:r>
            <w:r w:rsidR="00A74FDF">
              <w:rPr>
                <w:rFonts w:asciiTheme="minorHAnsi" w:hAnsiTheme="minorHAnsi" w:cs="Arial"/>
                <w:sz w:val="22"/>
                <w:szCs w:val="22"/>
              </w:rPr>
              <w:t xml:space="preserve"> two-way</w:t>
            </w:r>
            <w:r>
              <w:rPr>
                <w:rFonts w:asciiTheme="minorHAnsi" w:hAnsiTheme="minorHAnsi" w:cs="Arial"/>
                <w:sz w:val="22"/>
                <w:szCs w:val="22"/>
              </w:rPr>
              <w:t xml:space="preserve"> communication with staff regarding the work undertaken by the committee. </w:t>
            </w:r>
          </w:p>
          <w:p w:rsidR="00BA769C" w:rsidRDefault="00BA769C" w:rsidP="00BA769C">
            <w:pPr>
              <w:pStyle w:val="NormalWeb"/>
              <w:spacing w:before="0" w:after="0"/>
              <w:ind w:left="357"/>
              <w:rPr>
                <w:rFonts w:asciiTheme="minorHAnsi" w:hAnsiTheme="minorHAnsi" w:cs="Arial"/>
                <w:sz w:val="22"/>
                <w:szCs w:val="22"/>
              </w:rPr>
            </w:pPr>
          </w:p>
          <w:p w:rsidR="00BA769C" w:rsidRPr="00BA769C" w:rsidRDefault="00BA769C" w:rsidP="00BA769C">
            <w:pPr>
              <w:autoSpaceDE w:val="0"/>
              <w:autoSpaceDN w:val="0"/>
              <w:adjustRightInd w:val="0"/>
              <w:spacing w:after="0" w:line="240" w:lineRule="auto"/>
            </w:pPr>
            <w:r w:rsidRPr="00BA769C">
              <w:t>All members of the Committee must have and maintain:</w:t>
            </w:r>
          </w:p>
          <w:p w:rsidR="00BA769C" w:rsidRPr="00BA769C" w:rsidRDefault="00BA769C" w:rsidP="00BA769C">
            <w:pPr>
              <w:pStyle w:val="ListParagraph"/>
              <w:numPr>
                <w:ilvl w:val="0"/>
                <w:numId w:val="6"/>
              </w:numPr>
              <w:autoSpaceDE w:val="0"/>
              <w:autoSpaceDN w:val="0"/>
              <w:adjustRightInd w:val="0"/>
              <w:spacing w:after="0" w:line="240" w:lineRule="auto"/>
            </w:pPr>
            <w:r w:rsidRPr="00BA769C">
              <w:t>Basic financial literacy;</w:t>
            </w:r>
          </w:p>
          <w:p w:rsidR="00BA769C" w:rsidRPr="00BA769C" w:rsidRDefault="00BA769C" w:rsidP="00BA769C">
            <w:pPr>
              <w:pStyle w:val="ListParagraph"/>
              <w:numPr>
                <w:ilvl w:val="0"/>
                <w:numId w:val="6"/>
              </w:numPr>
              <w:autoSpaceDE w:val="0"/>
              <w:autoSpaceDN w:val="0"/>
              <w:adjustRightInd w:val="0"/>
              <w:spacing w:after="0" w:line="240" w:lineRule="auto"/>
            </w:pPr>
            <w:r w:rsidRPr="00BA769C">
              <w:t>Reasonable knowledge of SRH’s own risks and controls;</w:t>
            </w:r>
          </w:p>
          <w:p w:rsidR="00BA769C" w:rsidRPr="00BA769C" w:rsidRDefault="00BA769C" w:rsidP="00BA769C">
            <w:pPr>
              <w:pStyle w:val="ListParagraph"/>
              <w:numPr>
                <w:ilvl w:val="0"/>
                <w:numId w:val="6"/>
              </w:numPr>
              <w:autoSpaceDE w:val="0"/>
              <w:autoSpaceDN w:val="0"/>
              <w:adjustRightInd w:val="0"/>
              <w:spacing w:after="0" w:line="240" w:lineRule="auto"/>
            </w:pPr>
            <w:r w:rsidRPr="00BA769C">
              <w:t>Integrity, objectivity, accountability, honesty and openness;</w:t>
            </w:r>
          </w:p>
          <w:p w:rsidR="00BA769C" w:rsidRPr="00BA769C" w:rsidRDefault="00BA769C" w:rsidP="00BA769C">
            <w:pPr>
              <w:pStyle w:val="ListParagraph"/>
              <w:numPr>
                <w:ilvl w:val="0"/>
                <w:numId w:val="6"/>
              </w:numPr>
              <w:autoSpaceDE w:val="0"/>
              <w:autoSpaceDN w:val="0"/>
              <w:adjustRightInd w:val="0"/>
              <w:spacing w:after="0" w:line="240" w:lineRule="auto"/>
            </w:pPr>
            <w:r w:rsidRPr="00BA769C">
              <w:t>Dedication of time and effort;</w:t>
            </w:r>
          </w:p>
          <w:p w:rsidR="00BA769C" w:rsidRPr="00BA769C" w:rsidRDefault="00BA769C" w:rsidP="00BA769C">
            <w:pPr>
              <w:pStyle w:val="ListParagraph"/>
              <w:numPr>
                <w:ilvl w:val="0"/>
                <w:numId w:val="6"/>
              </w:numPr>
              <w:autoSpaceDE w:val="0"/>
              <w:autoSpaceDN w:val="0"/>
              <w:adjustRightInd w:val="0"/>
              <w:spacing w:after="0" w:line="240" w:lineRule="auto"/>
            </w:pPr>
            <w:r w:rsidRPr="00BA769C">
              <w:t>An enquiring mind;</w:t>
            </w:r>
          </w:p>
          <w:p w:rsidR="00BA769C" w:rsidRPr="00BA769C" w:rsidRDefault="00BA769C" w:rsidP="00BA769C">
            <w:pPr>
              <w:pStyle w:val="ListParagraph"/>
              <w:numPr>
                <w:ilvl w:val="0"/>
                <w:numId w:val="6"/>
              </w:numPr>
              <w:autoSpaceDE w:val="0"/>
              <w:autoSpaceDN w:val="0"/>
              <w:adjustRightInd w:val="0"/>
              <w:spacing w:after="0" w:line="240" w:lineRule="auto"/>
            </w:pPr>
            <w:r w:rsidRPr="00BA769C">
              <w:t>Independence of judgment;</w:t>
            </w:r>
          </w:p>
          <w:p w:rsidR="00BA769C" w:rsidRPr="00BA769C" w:rsidRDefault="00BA769C" w:rsidP="00BA769C">
            <w:pPr>
              <w:pStyle w:val="ListParagraph"/>
              <w:numPr>
                <w:ilvl w:val="0"/>
                <w:numId w:val="6"/>
              </w:numPr>
              <w:autoSpaceDE w:val="0"/>
              <w:autoSpaceDN w:val="0"/>
              <w:adjustRightInd w:val="0"/>
              <w:spacing w:after="0" w:line="240" w:lineRule="auto"/>
            </w:pPr>
            <w:r w:rsidRPr="00BA769C">
              <w:t>Relevant industry knowledge; and</w:t>
            </w:r>
          </w:p>
          <w:p w:rsidR="00BA769C" w:rsidRPr="00BA769C" w:rsidRDefault="00BA769C" w:rsidP="00BA769C">
            <w:pPr>
              <w:pStyle w:val="ListParagraph"/>
              <w:numPr>
                <w:ilvl w:val="0"/>
                <w:numId w:val="6"/>
              </w:numPr>
              <w:autoSpaceDE w:val="0"/>
              <w:autoSpaceDN w:val="0"/>
              <w:adjustRightInd w:val="0"/>
              <w:spacing w:after="0" w:line="240" w:lineRule="auto"/>
            </w:pPr>
            <w:r w:rsidRPr="00BA769C">
              <w:t>Business experience in the public or private sector</w:t>
            </w:r>
          </w:p>
          <w:p w:rsidR="00D93590" w:rsidRDefault="00D93590" w:rsidP="00A74FDF">
            <w:pPr>
              <w:pStyle w:val="NormalWeb"/>
              <w:spacing w:before="0" w:after="0"/>
            </w:pPr>
          </w:p>
          <w:p w:rsidR="00BA769C" w:rsidRDefault="00BA769C" w:rsidP="00A74FDF">
            <w:pPr>
              <w:pStyle w:val="NormalWeb"/>
              <w:spacing w:before="0" w:after="0"/>
            </w:pPr>
          </w:p>
          <w:p w:rsidR="0075561E" w:rsidRDefault="0075561E" w:rsidP="00A74FDF">
            <w:pPr>
              <w:pStyle w:val="NormalWeb"/>
              <w:spacing w:before="0" w:after="0"/>
            </w:pPr>
          </w:p>
          <w:p w:rsidR="0075561E" w:rsidRPr="007C3088" w:rsidRDefault="0075561E" w:rsidP="00A74FDF">
            <w:pPr>
              <w:pStyle w:val="NormalWeb"/>
              <w:spacing w:before="0" w:after="0"/>
            </w:pPr>
          </w:p>
        </w:tc>
      </w:tr>
    </w:tbl>
    <w:p w:rsidR="00CB1862" w:rsidRPr="008256ED" w:rsidRDefault="00FB66A0" w:rsidP="00FB66A0">
      <w:pPr>
        <w:pBdr>
          <w:top w:val="single" w:sz="4" w:space="1" w:color="auto"/>
          <w:bottom w:val="single" w:sz="4" w:space="1" w:color="auto"/>
        </w:pBdr>
        <w:shd w:val="clear" w:color="auto" w:fill="E2EFD9" w:themeFill="accent6" w:themeFillTint="33"/>
        <w:tabs>
          <w:tab w:val="left" w:pos="1870"/>
        </w:tabs>
        <w:ind w:right="-46"/>
        <w:jc w:val="both"/>
      </w:pPr>
      <w:r>
        <w:t>Declaration:</w:t>
      </w:r>
    </w:p>
    <w:p w:rsidR="007D6360" w:rsidRDefault="007D6360" w:rsidP="007D6360">
      <w:pPr>
        <w:jc w:val="both"/>
        <w:rPr>
          <w:rFonts w:ascii="Calibri" w:hAnsi="Calibri"/>
        </w:rPr>
      </w:pPr>
      <w:r>
        <w:t xml:space="preserve">SRH </w:t>
      </w:r>
      <w:r>
        <w:rPr>
          <w:rFonts w:ascii="Calibri" w:hAnsi="Calibri"/>
        </w:rPr>
        <w:t xml:space="preserve">reserves the right to modify position descriptions as required. </w:t>
      </w:r>
      <w:r w:rsidR="008E4B47">
        <w:rPr>
          <w:rFonts w:ascii="Calibri" w:hAnsi="Calibri"/>
        </w:rPr>
        <w:t>Committee members will</w:t>
      </w:r>
      <w:r>
        <w:rPr>
          <w:rFonts w:ascii="Calibri" w:hAnsi="Calibri"/>
        </w:rPr>
        <w:t xml:space="preserve"> be consulted when this occurs.</w:t>
      </w:r>
    </w:p>
    <w:p w:rsidR="008E4B47" w:rsidRDefault="008E4B47" w:rsidP="007D6360">
      <w:pPr>
        <w:jc w:val="both"/>
        <w:rPr>
          <w:rFonts w:ascii="Calibri" w:hAnsi="Calibri"/>
        </w:rPr>
      </w:pPr>
    </w:p>
    <w:p w:rsidR="00CB1862" w:rsidRPr="008256ED" w:rsidRDefault="00CB1862" w:rsidP="00023A6B">
      <w:pPr>
        <w:tabs>
          <w:tab w:val="left" w:pos="1870"/>
        </w:tabs>
        <w:ind w:right="-330"/>
        <w:jc w:val="both"/>
      </w:pPr>
      <w:r w:rsidRPr="008256ED">
        <w:t xml:space="preserve">I have read this position </w:t>
      </w:r>
      <w:r w:rsidR="00A27471">
        <w:t>statement</w:t>
      </w:r>
      <w:r w:rsidRPr="008256ED">
        <w:t xml:space="preserve"> and understand its contents.</w:t>
      </w:r>
    </w:p>
    <w:tbl>
      <w:tblPr>
        <w:tblStyle w:val="TableGrid"/>
        <w:tblW w:w="0" w:type="auto"/>
        <w:tblBorders>
          <w:insideH w:val="none" w:sz="0" w:space="0" w:color="auto"/>
        </w:tblBorders>
        <w:tblLook w:val="04A0" w:firstRow="1" w:lastRow="0" w:firstColumn="1" w:lastColumn="0" w:noHBand="0" w:noVBand="1"/>
      </w:tblPr>
      <w:tblGrid>
        <w:gridCol w:w="1980"/>
        <w:gridCol w:w="2977"/>
        <w:gridCol w:w="678"/>
        <w:gridCol w:w="1127"/>
        <w:gridCol w:w="2254"/>
      </w:tblGrid>
      <w:tr w:rsidR="00E90D20" w:rsidRPr="008256ED" w:rsidTr="00FE7C89">
        <w:tc>
          <w:tcPr>
            <w:tcW w:w="1980" w:type="dxa"/>
            <w:tcBorders>
              <w:top w:val="nil"/>
              <w:left w:val="nil"/>
              <w:bottom w:val="nil"/>
              <w:right w:val="nil"/>
            </w:tcBorders>
          </w:tcPr>
          <w:p w:rsidR="00E90D20" w:rsidRPr="008256ED" w:rsidRDefault="00E90D20" w:rsidP="00FE7C89">
            <w:pPr>
              <w:tabs>
                <w:tab w:val="left" w:pos="1870"/>
              </w:tabs>
              <w:ind w:right="-330"/>
              <w:jc w:val="both"/>
            </w:pPr>
            <w:r w:rsidRPr="008256ED">
              <w:t>Signed :</w:t>
            </w:r>
          </w:p>
        </w:tc>
        <w:tc>
          <w:tcPr>
            <w:tcW w:w="2977" w:type="dxa"/>
            <w:tcBorders>
              <w:top w:val="nil"/>
              <w:left w:val="nil"/>
              <w:bottom w:val="dashSmallGap" w:sz="4" w:space="0" w:color="auto"/>
              <w:right w:val="nil"/>
            </w:tcBorders>
          </w:tcPr>
          <w:p w:rsidR="00E90D20" w:rsidRPr="008256ED" w:rsidRDefault="00E90D20" w:rsidP="00FE7C89">
            <w:pPr>
              <w:tabs>
                <w:tab w:val="left" w:pos="1870"/>
              </w:tabs>
              <w:ind w:right="-330"/>
              <w:jc w:val="both"/>
            </w:pPr>
          </w:p>
        </w:tc>
        <w:tc>
          <w:tcPr>
            <w:tcW w:w="678" w:type="dxa"/>
            <w:tcBorders>
              <w:top w:val="nil"/>
              <w:left w:val="nil"/>
              <w:bottom w:val="nil"/>
              <w:right w:val="nil"/>
            </w:tcBorders>
          </w:tcPr>
          <w:p w:rsidR="00E90D20" w:rsidRPr="008256ED" w:rsidRDefault="00E90D20" w:rsidP="00FE7C89">
            <w:pPr>
              <w:tabs>
                <w:tab w:val="left" w:pos="1870"/>
              </w:tabs>
              <w:ind w:right="-330"/>
              <w:jc w:val="both"/>
            </w:pPr>
          </w:p>
        </w:tc>
        <w:tc>
          <w:tcPr>
            <w:tcW w:w="1127" w:type="dxa"/>
            <w:tcBorders>
              <w:top w:val="nil"/>
              <w:left w:val="nil"/>
              <w:bottom w:val="nil"/>
              <w:right w:val="nil"/>
            </w:tcBorders>
          </w:tcPr>
          <w:p w:rsidR="00E90D20" w:rsidRPr="008256ED" w:rsidRDefault="00E90D20" w:rsidP="00FE7C89">
            <w:pPr>
              <w:tabs>
                <w:tab w:val="left" w:pos="1870"/>
              </w:tabs>
              <w:ind w:right="-330"/>
              <w:jc w:val="both"/>
            </w:pPr>
            <w:r w:rsidRPr="008256ED">
              <w:t>Date :</w:t>
            </w:r>
          </w:p>
        </w:tc>
        <w:tc>
          <w:tcPr>
            <w:tcW w:w="2254" w:type="dxa"/>
            <w:tcBorders>
              <w:top w:val="nil"/>
              <w:left w:val="nil"/>
              <w:bottom w:val="dashSmallGap" w:sz="4" w:space="0" w:color="auto"/>
              <w:right w:val="nil"/>
            </w:tcBorders>
          </w:tcPr>
          <w:p w:rsidR="00E90D20" w:rsidRPr="008256ED" w:rsidRDefault="00E90D20" w:rsidP="00FE7C89">
            <w:pPr>
              <w:tabs>
                <w:tab w:val="left" w:pos="1870"/>
              </w:tabs>
              <w:ind w:right="-330"/>
              <w:jc w:val="both"/>
            </w:pPr>
          </w:p>
        </w:tc>
      </w:tr>
      <w:tr w:rsidR="00E90D20" w:rsidRPr="008256ED" w:rsidTr="00FE7C89">
        <w:tc>
          <w:tcPr>
            <w:tcW w:w="1980" w:type="dxa"/>
            <w:tcBorders>
              <w:top w:val="nil"/>
              <w:left w:val="nil"/>
              <w:bottom w:val="nil"/>
              <w:right w:val="nil"/>
            </w:tcBorders>
          </w:tcPr>
          <w:p w:rsidR="00E90D20" w:rsidRPr="008256ED" w:rsidRDefault="00E90D20" w:rsidP="00FE7C89">
            <w:pPr>
              <w:tabs>
                <w:tab w:val="left" w:pos="1870"/>
              </w:tabs>
              <w:ind w:right="-330"/>
              <w:jc w:val="both"/>
            </w:pPr>
          </w:p>
          <w:p w:rsidR="00E90D20" w:rsidRPr="008256ED" w:rsidRDefault="00E90D20" w:rsidP="00FE7C89">
            <w:pPr>
              <w:tabs>
                <w:tab w:val="left" w:pos="1870"/>
              </w:tabs>
              <w:ind w:right="-330"/>
              <w:jc w:val="both"/>
            </w:pPr>
            <w:r w:rsidRPr="008256ED">
              <w:t>Name in print :</w:t>
            </w:r>
          </w:p>
        </w:tc>
        <w:tc>
          <w:tcPr>
            <w:tcW w:w="7036" w:type="dxa"/>
            <w:gridSpan w:val="4"/>
            <w:tcBorders>
              <w:top w:val="nil"/>
              <w:left w:val="nil"/>
              <w:bottom w:val="dashSmallGap" w:sz="4" w:space="0" w:color="auto"/>
              <w:right w:val="nil"/>
            </w:tcBorders>
          </w:tcPr>
          <w:p w:rsidR="00E90D20" w:rsidRPr="008256ED" w:rsidRDefault="00E90D20" w:rsidP="00FE7C89">
            <w:pPr>
              <w:tabs>
                <w:tab w:val="left" w:pos="1870"/>
              </w:tabs>
              <w:ind w:right="-330"/>
              <w:jc w:val="both"/>
            </w:pPr>
          </w:p>
        </w:tc>
      </w:tr>
    </w:tbl>
    <w:p w:rsidR="008256ED" w:rsidRPr="008256ED" w:rsidRDefault="008256ED" w:rsidP="00023A6B">
      <w:pPr>
        <w:tabs>
          <w:tab w:val="left" w:pos="1870"/>
        </w:tabs>
        <w:spacing w:after="0" w:line="240" w:lineRule="auto"/>
        <w:ind w:right="-330"/>
        <w:jc w:val="both"/>
        <w:rPr>
          <w:i/>
        </w:rPr>
      </w:pPr>
    </w:p>
    <w:p w:rsidR="00CB1862" w:rsidRPr="008256ED" w:rsidRDefault="008E4B47" w:rsidP="00023A6B">
      <w:pPr>
        <w:tabs>
          <w:tab w:val="left" w:pos="1870"/>
        </w:tabs>
        <w:spacing w:after="0" w:line="240" w:lineRule="auto"/>
        <w:ind w:right="-330"/>
        <w:jc w:val="both"/>
        <w:rPr>
          <w:i/>
          <w:u w:val="single"/>
        </w:rPr>
      </w:pPr>
      <w:r>
        <w:rPr>
          <w:i/>
          <w:u w:val="single"/>
        </w:rPr>
        <w:t xml:space="preserve">Committee Chair </w:t>
      </w:r>
    </w:p>
    <w:p w:rsidR="00CB1862" w:rsidRPr="00FB66A0" w:rsidRDefault="00CB1862" w:rsidP="00023A6B">
      <w:pPr>
        <w:tabs>
          <w:tab w:val="left" w:pos="1870"/>
        </w:tabs>
        <w:spacing w:after="0" w:line="240" w:lineRule="auto"/>
        <w:ind w:right="-330"/>
        <w:jc w:val="both"/>
        <w:rPr>
          <w:sz w:val="10"/>
          <w:szCs w:val="10"/>
        </w:rPr>
      </w:pPr>
    </w:p>
    <w:p w:rsidR="00CB1862" w:rsidRPr="008256ED" w:rsidRDefault="00CB1862" w:rsidP="00023A6B">
      <w:pPr>
        <w:tabs>
          <w:tab w:val="left" w:pos="1870"/>
        </w:tabs>
        <w:spacing w:after="0" w:line="240" w:lineRule="auto"/>
        <w:ind w:right="-330"/>
        <w:jc w:val="both"/>
      </w:pPr>
      <w:r w:rsidRPr="008256ED">
        <w:t xml:space="preserve">This position </w:t>
      </w:r>
      <w:r w:rsidR="00A27471">
        <w:t xml:space="preserve">statement </w:t>
      </w:r>
      <w:r w:rsidRPr="008256ED">
        <w:t>accurately describes the essential functions assigned to this position.</w:t>
      </w:r>
    </w:p>
    <w:p w:rsidR="00CB1862" w:rsidRPr="008256ED" w:rsidRDefault="00CB1862" w:rsidP="00023A6B">
      <w:pPr>
        <w:tabs>
          <w:tab w:val="left" w:pos="1870"/>
        </w:tabs>
        <w:spacing w:after="0" w:line="240" w:lineRule="auto"/>
        <w:ind w:right="-330"/>
        <w:jc w:val="both"/>
      </w:pPr>
    </w:p>
    <w:tbl>
      <w:tblPr>
        <w:tblStyle w:val="TableGrid"/>
        <w:tblW w:w="0" w:type="auto"/>
        <w:tblBorders>
          <w:insideH w:val="none" w:sz="0" w:space="0" w:color="auto"/>
        </w:tblBorders>
        <w:tblLook w:val="04A0" w:firstRow="1" w:lastRow="0" w:firstColumn="1" w:lastColumn="0" w:noHBand="0" w:noVBand="1"/>
      </w:tblPr>
      <w:tblGrid>
        <w:gridCol w:w="1134"/>
        <w:gridCol w:w="3823"/>
        <w:gridCol w:w="678"/>
        <w:gridCol w:w="1127"/>
        <w:gridCol w:w="2254"/>
      </w:tblGrid>
      <w:tr w:rsidR="00E90D20" w:rsidRPr="008256ED" w:rsidTr="00E90D20">
        <w:tc>
          <w:tcPr>
            <w:tcW w:w="1134" w:type="dxa"/>
            <w:tcBorders>
              <w:top w:val="nil"/>
              <w:left w:val="nil"/>
              <w:bottom w:val="nil"/>
              <w:right w:val="nil"/>
            </w:tcBorders>
          </w:tcPr>
          <w:p w:rsidR="00425387" w:rsidRPr="008256ED" w:rsidRDefault="00425387" w:rsidP="00023A6B">
            <w:pPr>
              <w:tabs>
                <w:tab w:val="left" w:pos="1870"/>
              </w:tabs>
              <w:ind w:right="-330"/>
              <w:jc w:val="both"/>
            </w:pPr>
            <w:r w:rsidRPr="008256ED">
              <w:t>Signed :</w:t>
            </w:r>
          </w:p>
        </w:tc>
        <w:tc>
          <w:tcPr>
            <w:tcW w:w="3823" w:type="dxa"/>
            <w:tcBorders>
              <w:top w:val="nil"/>
              <w:left w:val="nil"/>
              <w:bottom w:val="dashSmallGap" w:sz="4" w:space="0" w:color="auto"/>
              <w:right w:val="nil"/>
            </w:tcBorders>
          </w:tcPr>
          <w:p w:rsidR="00425387" w:rsidRPr="008256ED" w:rsidRDefault="00425387" w:rsidP="00023A6B">
            <w:pPr>
              <w:tabs>
                <w:tab w:val="left" w:pos="1870"/>
              </w:tabs>
              <w:ind w:right="-330"/>
              <w:jc w:val="both"/>
            </w:pPr>
          </w:p>
        </w:tc>
        <w:tc>
          <w:tcPr>
            <w:tcW w:w="678" w:type="dxa"/>
            <w:tcBorders>
              <w:top w:val="nil"/>
              <w:left w:val="nil"/>
              <w:bottom w:val="nil"/>
              <w:right w:val="nil"/>
            </w:tcBorders>
          </w:tcPr>
          <w:p w:rsidR="00425387" w:rsidRPr="008256ED" w:rsidRDefault="00425387" w:rsidP="00023A6B">
            <w:pPr>
              <w:tabs>
                <w:tab w:val="left" w:pos="1870"/>
              </w:tabs>
              <w:ind w:right="-330"/>
              <w:jc w:val="both"/>
            </w:pPr>
          </w:p>
        </w:tc>
        <w:tc>
          <w:tcPr>
            <w:tcW w:w="1127" w:type="dxa"/>
            <w:tcBorders>
              <w:top w:val="nil"/>
              <w:left w:val="nil"/>
              <w:bottom w:val="nil"/>
              <w:right w:val="nil"/>
            </w:tcBorders>
          </w:tcPr>
          <w:p w:rsidR="00425387" w:rsidRPr="008256ED" w:rsidRDefault="00425387" w:rsidP="00023A6B">
            <w:pPr>
              <w:tabs>
                <w:tab w:val="left" w:pos="1870"/>
              </w:tabs>
              <w:ind w:right="-330"/>
              <w:jc w:val="both"/>
            </w:pPr>
            <w:r w:rsidRPr="008256ED">
              <w:t>Date :</w:t>
            </w:r>
          </w:p>
        </w:tc>
        <w:tc>
          <w:tcPr>
            <w:tcW w:w="2254" w:type="dxa"/>
            <w:tcBorders>
              <w:top w:val="nil"/>
              <w:left w:val="nil"/>
              <w:bottom w:val="dashSmallGap" w:sz="4" w:space="0" w:color="auto"/>
              <w:right w:val="nil"/>
            </w:tcBorders>
          </w:tcPr>
          <w:p w:rsidR="00425387" w:rsidRPr="008256ED" w:rsidRDefault="00425387" w:rsidP="00023A6B">
            <w:pPr>
              <w:tabs>
                <w:tab w:val="left" w:pos="1870"/>
              </w:tabs>
              <w:ind w:right="-330"/>
              <w:jc w:val="both"/>
            </w:pPr>
          </w:p>
        </w:tc>
      </w:tr>
      <w:tr w:rsidR="00425387" w:rsidRPr="008256ED" w:rsidTr="00E90D20">
        <w:tc>
          <w:tcPr>
            <w:tcW w:w="1134" w:type="dxa"/>
            <w:tcBorders>
              <w:top w:val="nil"/>
              <w:left w:val="nil"/>
              <w:bottom w:val="nil"/>
              <w:right w:val="nil"/>
            </w:tcBorders>
          </w:tcPr>
          <w:p w:rsidR="00E90D20" w:rsidRPr="008256ED" w:rsidRDefault="00E90D20" w:rsidP="00023A6B">
            <w:pPr>
              <w:tabs>
                <w:tab w:val="left" w:pos="1870"/>
              </w:tabs>
              <w:ind w:right="-330"/>
              <w:jc w:val="both"/>
            </w:pPr>
          </w:p>
          <w:p w:rsidR="00425387" w:rsidRPr="008256ED" w:rsidRDefault="00425387" w:rsidP="00023A6B">
            <w:pPr>
              <w:tabs>
                <w:tab w:val="left" w:pos="1870"/>
              </w:tabs>
              <w:ind w:right="-330"/>
              <w:jc w:val="both"/>
            </w:pPr>
            <w:r w:rsidRPr="008256ED">
              <w:t>Name :</w:t>
            </w:r>
          </w:p>
        </w:tc>
        <w:tc>
          <w:tcPr>
            <w:tcW w:w="7882" w:type="dxa"/>
            <w:gridSpan w:val="4"/>
            <w:tcBorders>
              <w:top w:val="nil"/>
              <w:left w:val="nil"/>
              <w:bottom w:val="dashSmallGap" w:sz="4" w:space="0" w:color="auto"/>
              <w:right w:val="nil"/>
            </w:tcBorders>
          </w:tcPr>
          <w:p w:rsidR="00425387" w:rsidRPr="008256ED" w:rsidRDefault="00425387" w:rsidP="00023A6B">
            <w:pPr>
              <w:tabs>
                <w:tab w:val="left" w:pos="1870"/>
              </w:tabs>
              <w:ind w:right="-330"/>
              <w:jc w:val="both"/>
            </w:pPr>
          </w:p>
        </w:tc>
      </w:tr>
      <w:tr w:rsidR="00425387" w:rsidRPr="008256ED" w:rsidTr="00E90D20">
        <w:tc>
          <w:tcPr>
            <w:tcW w:w="1134" w:type="dxa"/>
            <w:tcBorders>
              <w:top w:val="nil"/>
              <w:left w:val="nil"/>
              <w:bottom w:val="nil"/>
              <w:right w:val="nil"/>
            </w:tcBorders>
          </w:tcPr>
          <w:p w:rsidR="00E90D20" w:rsidRPr="008256ED" w:rsidRDefault="00E90D20" w:rsidP="00023A6B">
            <w:pPr>
              <w:tabs>
                <w:tab w:val="left" w:pos="1870"/>
              </w:tabs>
              <w:ind w:right="-330"/>
              <w:jc w:val="both"/>
            </w:pPr>
          </w:p>
          <w:p w:rsidR="00425387" w:rsidRPr="008256ED" w:rsidRDefault="00112133" w:rsidP="00023A6B">
            <w:pPr>
              <w:tabs>
                <w:tab w:val="left" w:pos="1870"/>
              </w:tabs>
              <w:ind w:right="-330"/>
              <w:jc w:val="both"/>
            </w:pPr>
            <w:r w:rsidRPr="008256ED">
              <w:t>Position :</w:t>
            </w:r>
          </w:p>
        </w:tc>
        <w:tc>
          <w:tcPr>
            <w:tcW w:w="7882" w:type="dxa"/>
            <w:gridSpan w:val="4"/>
            <w:tcBorders>
              <w:top w:val="dashSmallGap" w:sz="4" w:space="0" w:color="auto"/>
              <w:left w:val="nil"/>
              <w:bottom w:val="dashSmallGap" w:sz="4" w:space="0" w:color="auto"/>
              <w:right w:val="nil"/>
            </w:tcBorders>
          </w:tcPr>
          <w:p w:rsidR="00425387" w:rsidRPr="008256ED" w:rsidRDefault="00425387" w:rsidP="00023A6B">
            <w:pPr>
              <w:tabs>
                <w:tab w:val="left" w:pos="1870"/>
              </w:tabs>
              <w:ind w:right="-330"/>
              <w:jc w:val="both"/>
            </w:pPr>
          </w:p>
        </w:tc>
      </w:tr>
    </w:tbl>
    <w:p w:rsidR="004F22CB" w:rsidRDefault="004F22CB" w:rsidP="00FB66A0">
      <w:pPr>
        <w:tabs>
          <w:tab w:val="left" w:pos="1870"/>
        </w:tabs>
        <w:spacing w:after="0" w:line="240" w:lineRule="auto"/>
        <w:ind w:right="-330"/>
        <w:jc w:val="both"/>
      </w:pPr>
    </w:p>
    <w:sectPr w:rsidR="004F22CB" w:rsidSect="009F4BC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876" w:rsidRDefault="00323876" w:rsidP="00136F4E">
      <w:pPr>
        <w:spacing w:after="0" w:line="240" w:lineRule="auto"/>
      </w:pPr>
      <w:r>
        <w:separator/>
      </w:r>
    </w:p>
  </w:endnote>
  <w:endnote w:type="continuationSeparator" w:id="0">
    <w:p w:rsidR="00323876" w:rsidRDefault="00323876" w:rsidP="00136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16" w:rsidRPr="00133B16" w:rsidRDefault="00133B16">
    <w:pPr>
      <w:pStyle w:val="Footer"/>
      <w:rPr>
        <w:lang w:val="en-SG"/>
      </w:rPr>
    </w:pPr>
    <w:r>
      <w:rPr>
        <w:lang w:val="en-SG"/>
      </w:rPr>
      <w:t xml:space="preserve">Version Number: 1.0 </w:t>
    </w:r>
    <w:r>
      <w:rPr>
        <w:lang w:val="en-SG"/>
      </w:rPr>
      <w:tab/>
    </w:r>
    <w:r w:rsidR="00851262">
      <w:rPr>
        <w:lang w:val="en-SG"/>
      </w:rPr>
      <w:tab/>
    </w:r>
    <w:r>
      <w:rPr>
        <w:lang w:val="en-SG"/>
      </w:rPr>
      <w:t xml:space="preserve">Authorised Date: </w:t>
    </w:r>
    <w:r w:rsidR="008E4B47">
      <w:rPr>
        <w:lang w:val="en-SG"/>
      </w:rPr>
      <w:t>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876" w:rsidRDefault="00323876" w:rsidP="00136F4E">
      <w:pPr>
        <w:spacing w:after="0" w:line="240" w:lineRule="auto"/>
      </w:pPr>
      <w:r>
        <w:separator/>
      </w:r>
    </w:p>
  </w:footnote>
  <w:footnote w:type="continuationSeparator" w:id="0">
    <w:p w:rsidR="00323876" w:rsidRDefault="00323876" w:rsidP="00136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6F4E" w:rsidRDefault="00136F4E" w:rsidP="00136F4E">
    <w:pPr>
      <w:pStyle w:val="Header"/>
    </w:pPr>
    <w:r>
      <w:rPr>
        <w:rFonts w:ascii="Calibri" w:hAnsi="Calibri" w:cs="Calibri"/>
        <w:b/>
        <w:noProof/>
        <w:sz w:val="28"/>
        <w:szCs w:val="28"/>
        <w:lang w:eastAsia="en-AU"/>
      </w:rPr>
      <w:drawing>
        <wp:inline distT="0" distB="0" distL="0" distR="0" wp14:anchorId="4524DADA" wp14:editId="31ECC7F8">
          <wp:extent cx="1470143"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432" cy="71230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F4F2A"/>
    <w:multiLevelType w:val="hybridMultilevel"/>
    <w:tmpl w:val="78BEA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EE4426"/>
    <w:multiLevelType w:val="hybridMultilevel"/>
    <w:tmpl w:val="22C69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F6384D"/>
    <w:multiLevelType w:val="singleLevel"/>
    <w:tmpl w:val="0D3048CA"/>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68554051"/>
    <w:multiLevelType w:val="multilevel"/>
    <w:tmpl w:val="B9127088"/>
    <w:lvl w:ilvl="0">
      <w:start w:val="1"/>
      <w:numFmt w:val="decimal"/>
      <w:lvlText w:val="%1."/>
      <w:lvlJc w:val="left"/>
      <w:pPr>
        <w:ind w:left="360" w:hanging="360"/>
      </w:pPr>
    </w:lvl>
    <w:lvl w:ilvl="1">
      <w:start w:val="1"/>
      <w:numFmt w:val="bullet"/>
      <w:lvlText w:val=""/>
      <w:lvlJc w:val="left"/>
      <w:pPr>
        <w:ind w:left="114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A50170"/>
    <w:multiLevelType w:val="hybridMultilevel"/>
    <w:tmpl w:val="1BCCE828"/>
    <w:lvl w:ilvl="0" w:tplc="4D6229F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DF20F0E"/>
    <w:multiLevelType w:val="hybridMultilevel"/>
    <w:tmpl w:val="D5A489A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F4E"/>
    <w:rsid w:val="00023A6B"/>
    <w:rsid w:val="00043CB7"/>
    <w:rsid w:val="00045B8B"/>
    <w:rsid w:val="000C0DD6"/>
    <w:rsid w:val="000D159A"/>
    <w:rsid w:val="000E1F9A"/>
    <w:rsid w:val="000E4565"/>
    <w:rsid w:val="000F096E"/>
    <w:rsid w:val="00107F35"/>
    <w:rsid w:val="00112133"/>
    <w:rsid w:val="0011698E"/>
    <w:rsid w:val="00116E3C"/>
    <w:rsid w:val="00123C27"/>
    <w:rsid w:val="00133B16"/>
    <w:rsid w:val="00136F4E"/>
    <w:rsid w:val="00137E58"/>
    <w:rsid w:val="0014155D"/>
    <w:rsid w:val="001514DF"/>
    <w:rsid w:val="00151537"/>
    <w:rsid w:val="001D2651"/>
    <w:rsid w:val="001D56FB"/>
    <w:rsid w:val="001E1E6E"/>
    <w:rsid w:val="00272DE4"/>
    <w:rsid w:val="002A4856"/>
    <w:rsid w:val="002A770D"/>
    <w:rsid w:val="002B445C"/>
    <w:rsid w:val="002D51DE"/>
    <w:rsid w:val="002F545E"/>
    <w:rsid w:val="003036E7"/>
    <w:rsid w:val="00323876"/>
    <w:rsid w:val="00375A0C"/>
    <w:rsid w:val="003876B7"/>
    <w:rsid w:val="00394447"/>
    <w:rsid w:val="003A1356"/>
    <w:rsid w:val="003D51CB"/>
    <w:rsid w:val="003E4A42"/>
    <w:rsid w:val="004036D2"/>
    <w:rsid w:val="00425387"/>
    <w:rsid w:val="00455C90"/>
    <w:rsid w:val="00465369"/>
    <w:rsid w:val="00490537"/>
    <w:rsid w:val="0049116D"/>
    <w:rsid w:val="004D4010"/>
    <w:rsid w:val="004E70F5"/>
    <w:rsid w:val="004F22CB"/>
    <w:rsid w:val="00510A2C"/>
    <w:rsid w:val="00514CA9"/>
    <w:rsid w:val="00544A68"/>
    <w:rsid w:val="0056597C"/>
    <w:rsid w:val="00566E84"/>
    <w:rsid w:val="005B7ED4"/>
    <w:rsid w:val="005C167A"/>
    <w:rsid w:val="005C73CF"/>
    <w:rsid w:val="005D2DAE"/>
    <w:rsid w:val="005F70FC"/>
    <w:rsid w:val="006A2BC6"/>
    <w:rsid w:val="006C4DE9"/>
    <w:rsid w:val="006C522D"/>
    <w:rsid w:val="006C7191"/>
    <w:rsid w:val="006D265F"/>
    <w:rsid w:val="006D4E78"/>
    <w:rsid w:val="00732E08"/>
    <w:rsid w:val="007355A0"/>
    <w:rsid w:val="0075561E"/>
    <w:rsid w:val="007C3088"/>
    <w:rsid w:val="007D3529"/>
    <w:rsid w:val="007D6360"/>
    <w:rsid w:val="007E2513"/>
    <w:rsid w:val="007E3FC3"/>
    <w:rsid w:val="007E4195"/>
    <w:rsid w:val="007E5941"/>
    <w:rsid w:val="00802D52"/>
    <w:rsid w:val="00804259"/>
    <w:rsid w:val="00810377"/>
    <w:rsid w:val="008256ED"/>
    <w:rsid w:val="00826419"/>
    <w:rsid w:val="00835809"/>
    <w:rsid w:val="00843D55"/>
    <w:rsid w:val="00851262"/>
    <w:rsid w:val="008C58E9"/>
    <w:rsid w:val="008E4B47"/>
    <w:rsid w:val="008F5B24"/>
    <w:rsid w:val="00921192"/>
    <w:rsid w:val="00941D18"/>
    <w:rsid w:val="00944F87"/>
    <w:rsid w:val="00945682"/>
    <w:rsid w:val="0098080C"/>
    <w:rsid w:val="009A0E8B"/>
    <w:rsid w:val="009A7BF0"/>
    <w:rsid w:val="009C1778"/>
    <w:rsid w:val="009C6687"/>
    <w:rsid w:val="009F4BCA"/>
    <w:rsid w:val="00A05334"/>
    <w:rsid w:val="00A11458"/>
    <w:rsid w:val="00A27471"/>
    <w:rsid w:val="00A42305"/>
    <w:rsid w:val="00A45F4B"/>
    <w:rsid w:val="00A61A99"/>
    <w:rsid w:val="00A74FDF"/>
    <w:rsid w:val="00A8603A"/>
    <w:rsid w:val="00AD7C12"/>
    <w:rsid w:val="00AF0F66"/>
    <w:rsid w:val="00BA4E91"/>
    <w:rsid w:val="00BA769C"/>
    <w:rsid w:val="00BF71C2"/>
    <w:rsid w:val="00C031D3"/>
    <w:rsid w:val="00C24D6E"/>
    <w:rsid w:val="00CB1862"/>
    <w:rsid w:val="00D03D0E"/>
    <w:rsid w:val="00D3384F"/>
    <w:rsid w:val="00D37F2B"/>
    <w:rsid w:val="00D602CA"/>
    <w:rsid w:val="00D639E9"/>
    <w:rsid w:val="00D76669"/>
    <w:rsid w:val="00D77393"/>
    <w:rsid w:val="00D93590"/>
    <w:rsid w:val="00DA7480"/>
    <w:rsid w:val="00DC19A2"/>
    <w:rsid w:val="00DC5A1E"/>
    <w:rsid w:val="00DF1920"/>
    <w:rsid w:val="00DF1AE4"/>
    <w:rsid w:val="00E67E2B"/>
    <w:rsid w:val="00E90D20"/>
    <w:rsid w:val="00E91D69"/>
    <w:rsid w:val="00EA5781"/>
    <w:rsid w:val="00EB2686"/>
    <w:rsid w:val="00ED062C"/>
    <w:rsid w:val="00F51886"/>
    <w:rsid w:val="00F76FF2"/>
    <w:rsid w:val="00F92DCF"/>
    <w:rsid w:val="00FB66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45719E-18A6-40A6-9892-657AB376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7C3088"/>
    <w:pPr>
      <w:keepNext/>
      <w:spacing w:after="0" w:line="240" w:lineRule="auto"/>
      <w:outlineLvl w:val="3"/>
    </w:pPr>
    <w:rPr>
      <w:rFonts w:ascii="Times New Roman" w:eastAsia="Times New Roman" w:hAnsi="Times New Roman" w:cs="Times New Roman"/>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F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F4E"/>
  </w:style>
  <w:style w:type="paragraph" w:styleId="Footer">
    <w:name w:val="footer"/>
    <w:basedOn w:val="Normal"/>
    <w:link w:val="FooterChar"/>
    <w:uiPriority w:val="99"/>
    <w:unhideWhenUsed/>
    <w:rsid w:val="00136F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F4E"/>
  </w:style>
  <w:style w:type="table" w:styleId="TableGrid">
    <w:name w:val="Table Grid"/>
    <w:basedOn w:val="TableNormal"/>
    <w:uiPriority w:val="39"/>
    <w:rsid w:val="00136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BCA"/>
    <w:pPr>
      <w:ind w:left="720"/>
      <w:contextualSpacing/>
    </w:pPr>
  </w:style>
  <w:style w:type="paragraph" w:styleId="BalloonText">
    <w:name w:val="Balloon Text"/>
    <w:basedOn w:val="Normal"/>
    <w:link w:val="BalloonTextChar"/>
    <w:uiPriority w:val="99"/>
    <w:semiHidden/>
    <w:unhideWhenUsed/>
    <w:rsid w:val="004653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369"/>
    <w:rPr>
      <w:rFonts w:ascii="Tahoma" w:hAnsi="Tahoma" w:cs="Tahoma"/>
      <w:sz w:val="16"/>
      <w:szCs w:val="16"/>
    </w:rPr>
  </w:style>
  <w:style w:type="character" w:styleId="CommentReference">
    <w:name w:val="annotation reference"/>
    <w:basedOn w:val="DefaultParagraphFont"/>
    <w:uiPriority w:val="99"/>
    <w:semiHidden/>
    <w:unhideWhenUsed/>
    <w:rsid w:val="007E2513"/>
    <w:rPr>
      <w:sz w:val="16"/>
      <w:szCs w:val="16"/>
    </w:rPr>
  </w:style>
  <w:style w:type="paragraph" w:styleId="CommentText">
    <w:name w:val="annotation text"/>
    <w:basedOn w:val="Normal"/>
    <w:link w:val="CommentTextChar"/>
    <w:uiPriority w:val="99"/>
    <w:semiHidden/>
    <w:unhideWhenUsed/>
    <w:rsid w:val="007E2513"/>
    <w:pPr>
      <w:spacing w:line="240" w:lineRule="auto"/>
    </w:pPr>
    <w:rPr>
      <w:sz w:val="20"/>
      <w:szCs w:val="20"/>
    </w:rPr>
  </w:style>
  <w:style w:type="character" w:customStyle="1" w:styleId="CommentTextChar">
    <w:name w:val="Comment Text Char"/>
    <w:basedOn w:val="DefaultParagraphFont"/>
    <w:link w:val="CommentText"/>
    <w:uiPriority w:val="99"/>
    <w:semiHidden/>
    <w:rsid w:val="007E2513"/>
    <w:rPr>
      <w:sz w:val="20"/>
      <w:szCs w:val="20"/>
    </w:rPr>
  </w:style>
  <w:style w:type="paragraph" w:styleId="CommentSubject">
    <w:name w:val="annotation subject"/>
    <w:basedOn w:val="CommentText"/>
    <w:next w:val="CommentText"/>
    <w:link w:val="CommentSubjectChar"/>
    <w:uiPriority w:val="99"/>
    <w:semiHidden/>
    <w:unhideWhenUsed/>
    <w:rsid w:val="007E2513"/>
    <w:rPr>
      <w:b/>
      <w:bCs/>
    </w:rPr>
  </w:style>
  <w:style w:type="character" w:customStyle="1" w:styleId="CommentSubjectChar">
    <w:name w:val="Comment Subject Char"/>
    <w:basedOn w:val="CommentTextChar"/>
    <w:link w:val="CommentSubject"/>
    <w:uiPriority w:val="99"/>
    <w:semiHidden/>
    <w:rsid w:val="007E2513"/>
    <w:rPr>
      <w:b/>
      <w:bCs/>
      <w:sz w:val="20"/>
      <w:szCs w:val="20"/>
    </w:rPr>
  </w:style>
  <w:style w:type="paragraph" w:customStyle="1" w:styleId="Default">
    <w:name w:val="Default"/>
    <w:rsid w:val="00A1145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D639E9"/>
    <w:pPr>
      <w:spacing w:before="100" w:after="100" w:line="240" w:lineRule="auto"/>
    </w:pPr>
    <w:rPr>
      <w:rFonts w:ascii="Times New Roman" w:eastAsia="Times New Roman" w:hAnsi="Times New Roman" w:cs="Times New Roman"/>
      <w:color w:val="000000"/>
      <w:sz w:val="24"/>
      <w:szCs w:val="20"/>
      <w:lang w:val="en-US" w:eastAsia="en-AU"/>
    </w:rPr>
  </w:style>
  <w:style w:type="paragraph" w:styleId="BodyText2">
    <w:name w:val="Body Text 2"/>
    <w:basedOn w:val="Normal"/>
    <w:link w:val="BodyText2Char"/>
    <w:rsid w:val="007C3088"/>
    <w:pPr>
      <w:spacing w:after="0" w:line="240" w:lineRule="auto"/>
      <w:jc w:val="both"/>
    </w:pPr>
    <w:rPr>
      <w:rFonts w:ascii="Times New Roman" w:eastAsia="Times New Roman" w:hAnsi="Times New Roman" w:cs="Times New Roman"/>
      <w:sz w:val="24"/>
      <w:szCs w:val="20"/>
      <w:lang w:val="en-US" w:eastAsia="en-AU"/>
    </w:rPr>
  </w:style>
  <w:style w:type="character" w:customStyle="1" w:styleId="BodyText2Char">
    <w:name w:val="Body Text 2 Char"/>
    <w:basedOn w:val="DefaultParagraphFont"/>
    <w:link w:val="BodyText2"/>
    <w:rsid w:val="007C3088"/>
    <w:rPr>
      <w:rFonts w:ascii="Times New Roman" w:eastAsia="Times New Roman" w:hAnsi="Times New Roman" w:cs="Times New Roman"/>
      <w:sz w:val="24"/>
      <w:szCs w:val="20"/>
      <w:lang w:val="en-US" w:eastAsia="en-AU"/>
    </w:rPr>
  </w:style>
  <w:style w:type="character" w:customStyle="1" w:styleId="Heading4Char">
    <w:name w:val="Heading 4 Char"/>
    <w:basedOn w:val="DefaultParagraphFont"/>
    <w:link w:val="Heading4"/>
    <w:rsid w:val="007C3088"/>
    <w:rPr>
      <w:rFonts w:ascii="Times New Roman" w:eastAsia="Times New Roman" w:hAnsi="Times New Roman" w:cs="Times New Roman"/>
      <w:b/>
      <w:sz w:val="20"/>
      <w:szCs w:val="20"/>
      <w:lang w:eastAsia="en-AU"/>
    </w:rPr>
  </w:style>
  <w:style w:type="paragraph" w:styleId="BodyTextIndent">
    <w:name w:val="Body Text Indent"/>
    <w:basedOn w:val="Normal"/>
    <w:link w:val="BodyTextIndentChar"/>
    <w:uiPriority w:val="99"/>
    <w:unhideWhenUsed/>
    <w:rsid w:val="000F096E"/>
    <w:pPr>
      <w:spacing w:after="120"/>
      <w:ind w:left="283"/>
    </w:pPr>
  </w:style>
  <w:style w:type="character" w:customStyle="1" w:styleId="BodyTextIndentChar">
    <w:name w:val="Body Text Indent Char"/>
    <w:basedOn w:val="DefaultParagraphFont"/>
    <w:link w:val="BodyTextIndent"/>
    <w:uiPriority w:val="99"/>
    <w:rsid w:val="000F096E"/>
  </w:style>
  <w:style w:type="character" w:styleId="Hyperlink">
    <w:name w:val="Hyperlink"/>
    <w:basedOn w:val="DefaultParagraphFont"/>
    <w:uiPriority w:val="99"/>
    <w:semiHidden/>
    <w:unhideWhenUsed/>
    <w:rsid w:val="00EA57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05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686A0-9BB6-4583-B924-96CFB734B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Stawell Regional Health</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Dunmore</dc:creator>
  <cp:lastModifiedBy>Nicolene Harvey</cp:lastModifiedBy>
  <cp:revision>2</cp:revision>
  <cp:lastPrinted>2019-02-20T06:38:00Z</cp:lastPrinted>
  <dcterms:created xsi:type="dcterms:W3CDTF">2020-06-12T07:28:00Z</dcterms:created>
  <dcterms:modified xsi:type="dcterms:W3CDTF">2020-06-12T07:28:00Z</dcterms:modified>
</cp:coreProperties>
</file>